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CC4C" w14:textId="774F1A5B" w:rsidR="00FD47C7" w:rsidRPr="00FE5A87" w:rsidRDefault="00FE5A87" w:rsidP="00FE5A8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E5A87">
        <w:rPr>
          <w:rFonts w:ascii="Times New Roman" w:hAnsi="Times New Roman" w:cs="Times New Roman"/>
          <w:sz w:val="24"/>
          <w:szCs w:val="24"/>
        </w:rPr>
        <w:t>Üniversite Yönetim Kurulu Kararlarını Gönderelim</w:t>
      </w:r>
    </w:p>
    <w:sectPr w:rsidR="00FD47C7" w:rsidRPr="00FE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87"/>
    <w:rsid w:val="005F7870"/>
    <w:rsid w:val="00FD47C7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9738"/>
  <w15:chartTrackingRefBased/>
  <w15:docId w15:val="{10AA74D2-5764-4BF2-9228-A549976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>T.C. SAYISTAY BASKANLIGI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1</cp:revision>
  <dcterms:created xsi:type="dcterms:W3CDTF">2025-07-22T07:31:00Z</dcterms:created>
  <dcterms:modified xsi:type="dcterms:W3CDTF">2025-07-22T07:32:00Z</dcterms:modified>
</cp:coreProperties>
</file>